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A" w:rsidRDefault="009B6B5A" w:rsidP="009B6B5A">
      <w:pPr>
        <w:tabs>
          <w:tab w:val="left" w:pos="9288"/>
        </w:tabs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Приложение к ООП СОО, </w:t>
      </w:r>
    </w:p>
    <w:p w:rsidR="009B6B5A" w:rsidRDefault="009B6B5A" w:rsidP="009B6B5A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</w:p>
    <w:p w:rsidR="009B6B5A" w:rsidRDefault="009B6B5A" w:rsidP="009B6B5A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МАОУ «СШ № 12 г. Ельца»</w:t>
      </w:r>
    </w:p>
    <w:p w:rsidR="009B6B5A" w:rsidRDefault="009B6B5A" w:rsidP="009B6B5A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№70-1-ОД от 30.08.2022</w:t>
      </w:r>
    </w:p>
    <w:p w:rsidR="00EB72FD" w:rsidRDefault="00EB72FD" w:rsidP="00EB72FD">
      <w:pPr>
        <w:rPr>
          <w:rFonts w:ascii="Times New Roman" w:hAnsi="Times New Roman" w:cs="Times New Roman"/>
          <w:sz w:val="28"/>
          <w:szCs w:val="28"/>
        </w:rPr>
      </w:pPr>
    </w:p>
    <w:p w:rsidR="00EB72FD" w:rsidRPr="00EB72FD" w:rsidRDefault="00EB72FD" w:rsidP="00EB72FD">
      <w:pPr>
        <w:rPr>
          <w:rFonts w:ascii="Times New Roman" w:hAnsi="Times New Roman" w:cs="Times New Roman"/>
          <w:sz w:val="28"/>
          <w:szCs w:val="28"/>
        </w:rPr>
      </w:pPr>
    </w:p>
    <w:p w:rsidR="00EB72FD" w:rsidRPr="00EB72FD" w:rsidRDefault="00EB72FD" w:rsidP="00EB7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FD">
        <w:rPr>
          <w:rFonts w:ascii="Times New Roman" w:hAnsi="Times New Roman" w:cs="Times New Roman"/>
          <w:sz w:val="28"/>
          <w:szCs w:val="28"/>
        </w:rPr>
        <w:t>Муниципальное автономное об</w:t>
      </w:r>
      <w:r w:rsidR="009B6B5A">
        <w:rPr>
          <w:rFonts w:ascii="Times New Roman" w:hAnsi="Times New Roman" w:cs="Times New Roman"/>
          <w:sz w:val="28"/>
          <w:szCs w:val="28"/>
        </w:rPr>
        <w:t>щеоб</w:t>
      </w:r>
      <w:r w:rsidRPr="00EB72FD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552855" w:rsidRDefault="00EB72FD" w:rsidP="00EB7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FD">
        <w:rPr>
          <w:rFonts w:ascii="Times New Roman" w:hAnsi="Times New Roman" w:cs="Times New Roman"/>
          <w:sz w:val="28"/>
          <w:szCs w:val="28"/>
        </w:rPr>
        <w:t>«Средняя школа №12 г. Ельца»</w:t>
      </w:r>
    </w:p>
    <w:p w:rsidR="00EB72FD" w:rsidRDefault="00EB72FD" w:rsidP="00EB7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72FD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EB72FD" w:rsidRP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2FD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:rsidR="00EB72FD" w:rsidRPr="00D6779E" w:rsidRDefault="00D6779E" w:rsidP="00EB72F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6779E">
        <w:rPr>
          <w:rFonts w:ascii="Times New Roman" w:hAnsi="Times New Roman" w:cs="Times New Roman"/>
          <w:sz w:val="36"/>
          <w:szCs w:val="36"/>
          <w:u w:val="single"/>
        </w:rPr>
        <w:t>химия</w:t>
      </w:r>
    </w:p>
    <w:p w:rsidR="00EB72FD" w:rsidRP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2FD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EB72FD" w:rsidRP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2FD">
        <w:rPr>
          <w:rFonts w:ascii="Times New Roman" w:hAnsi="Times New Roman" w:cs="Times New Roman"/>
          <w:sz w:val="36"/>
          <w:szCs w:val="36"/>
        </w:rPr>
        <w:t>среднего общего образования</w:t>
      </w: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2FD">
        <w:rPr>
          <w:rFonts w:ascii="Times New Roman" w:hAnsi="Times New Roman" w:cs="Times New Roman"/>
          <w:sz w:val="36"/>
          <w:szCs w:val="36"/>
        </w:rPr>
        <w:t>/ФГОС/</w:t>
      </w: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3F64" w:rsidRDefault="00083F64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2FD" w:rsidRDefault="00EB72FD" w:rsidP="00EB72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6B5A" w:rsidRDefault="009B6B5A" w:rsidP="00D67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5A" w:rsidRPr="009B6B5A" w:rsidRDefault="00EB72FD" w:rsidP="009B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5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 w:rsidR="009B6B5A" w:rsidRPr="009B6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D14" w:rsidRDefault="00165D14" w:rsidP="00165D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Личностные результаты </w:t>
      </w:r>
    </w:p>
    <w:p w:rsidR="00165D14" w:rsidRPr="00B96DD3" w:rsidRDefault="00165D14" w:rsidP="00165D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наркотиков.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признание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неотчуждаемости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эстетическое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положительный образ семьи,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родительства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(отцовства и материнства),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традиционных семейных ценностей. 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65D14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5D14" w:rsidRPr="00B96DD3" w:rsidRDefault="00165D14" w:rsidP="00165D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165D14" w:rsidRPr="00B96DD3" w:rsidRDefault="00165D14" w:rsidP="00165D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165D14" w:rsidRPr="00B96DD3" w:rsidRDefault="00165D14" w:rsidP="00165D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5D14" w:rsidRPr="00B96DD3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65D14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65D14" w:rsidRDefault="00165D14" w:rsidP="00165D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5D14" w:rsidRDefault="00165D14" w:rsidP="00165D14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5B69BE" w:rsidRDefault="005B69BE" w:rsidP="00590C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72FD">
        <w:rPr>
          <w:rFonts w:ascii="Times New Roman" w:hAnsi="Times New Roman" w:cs="Times New Roman"/>
          <w:sz w:val="24"/>
          <w:szCs w:val="24"/>
        </w:rPr>
        <w:t>ребования к предметным результатам освоения базового курса химии отражают: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72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72FD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B72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72FD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B72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72FD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590C9B" w:rsidRPr="00EB72FD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 xml:space="preserve">7) для </w:t>
      </w:r>
      <w:proofErr w:type="gramStart"/>
      <w:r w:rsidRPr="00EB72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2F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овладение основными доступными методами научного познания;</w:t>
      </w:r>
    </w:p>
    <w:p w:rsidR="00590C9B" w:rsidRDefault="00590C9B" w:rsidP="00590C9B">
      <w:pPr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B72FD">
        <w:rPr>
          <w:rFonts w:ascii="Times New Roman" w:hAnsi="Times New Roman" w:cs="Times New Roman"/>
          <w:b/>
          <w:sz w:val="24"/>
          <w:szCs w:val="24"/>
        </w:rPr>
        <w:t xml:space="preserve"> результате изучения учебного предмета «Химия» на уровне среднего общего образования: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2FD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раскрывать на примерах роль химии в формировании современной научной картины мира и в практической деятельности человека;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демонстрировать на примерах взаимосвязь между химией и другими естественными науками;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раскрывать на примерах положения теории химического строения А.М. Бутлерова;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объяснять причины многообразия веществ на основе общих представлений об их составе и строении;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владеть правилами и приемами безопасной работы с химическими веществами и лабораторным оборудованием;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lastRenderedPageBreak/>
        <w:t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приводить примеры гидролиза солей в повседневной жизни человека;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приводить примеры химических реакций, раскрывающих общие химические свойства простых веществ – металлов и неметаллов;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владеть правилами безопасного обращения с едкими, горючими и токсичными веществами, средствами бытовой химии;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осуществлять поиск химической информации по названиям, идентификаторам, структурным формулам веществ;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2FD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590C9B" w:rsidRDefault="00EB72FD" w:rsidP="00590C9B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  <w:bookmarkStart w:id="0" w:name="_GoBack"/>
      <w:bookmarkEnd w:id="0"/>
    </w:p>
    <w:p w:rsidR="00EB72FD" w:rsidRPr="00590C9B" w:rsidRDefault="00EB72FD" w:rsidP="00590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B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B72FD" w:rsidRPr="00C26D6A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6A">
        <w:rPr>
          <w:rFonts w:ascii="Times New Roman" w:hAnsi="Times New Roman" w:cs="Times New Roman"/>
          <w:b/>
          <w:sz w:val="24"/>
          <w:szCs w:val="24"/>
        </w:rPr>
        <w:t>Основы органической химии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Строение молекулы метана. Гомологический ряд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>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Строение молекулы этилена. Гомологический ряд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гидрирование, гидратация,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и каучуки. Понятие об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алкадиенах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Строение молекулы ацетилена. Гомологический ряд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гидрирование, гидратация,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Арены. Бензол как представитель ароматических углеводородов. Строение молекулы бензола.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, реакция с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Фенол. Строение молекулы фенола. Взаимное влияние атомов в молекуле фенола. Химические свойства: взаимодействие с натрием, гидроксидом натрия, бромом. Применение фенола.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Альдегиды.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(формальдегид) и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Мылá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Углеводы. Классификация углеводов. Нахождение углеводов в природе. Глюкоза как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>. Брожение глюкозы. Сахароза. Гидролиз сахарозы.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Идентификация органических соединений. Генетическая связь между классами органических соединений. Типы химических реакций в органической химии.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</w:t>
      </w:r>
      <w:r w:rsidR="00EB72FD" w:rsidRPr="00EB72FD">
        <w:rPr>
          <w:rFonts w:ascii="Times New Roman" w:hAnsi="Times New Roman" w:cs="Times New Roman"/>
          <w:sz w:val="24"/>
          <w:szCs w:val="24"/>
        </w:rPr>
        <w:lastRenderedPageBreak/>
        <w:t>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EB72FD" w:rsidRPr="00C26D6A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2FD" w:rsidRPr="00C26D6A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6A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:rsidR="00C26D6A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="00EB72FD" w:rsidRPr="00EB72F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EB72FD" w:rsidRPr="00EB72FD">
        <w:rPr>
          <w:rFonts w:ascii="Times New Roman" w:hAnsi="Times New Roman" w:cs="Times New Roman"/>
          <w:sz w:val="24"/>
          <w:szCs w:val="24"/>
        </w:rPr>
        <w:t>. Виды химической связи (ковалентная,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ионная, металлическая, водородная) и механизмы ее образования.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</w:t>
      </w:r>
    </w:p>
    <w:p w:rsidR="00C26D6A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</w:t>
      </w:r>
      <w:r>
        <w:rPr>
          <w:rFonts w:ascii="Times New Roman" w:hAnsi="Times New Roman" w:cs="Times New Roman"/>
          <w:sz w:val="24"/>
          <w:szCs w:val="24"/>
        </w:rPr>
        <w:t>енном производстве. Обратимость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 xml:space="preserve">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Дисперсные системы. Понятие о коллоидах (золи, гели). Истинные растворы. Реакции в растворах электролитов. </w:t>
      </w:r>
      <w:proofErr w:type="spellStart"/>
      <w:r w:rsidRPr="00EB72FD">
        <w:rPr>
          <w:rFonts w:ascii="Times New Roman" w:hAnsi="Times New Roman" w:cs="Times New Roman"/>
          <w:sz w:val="24"/>
          <w:szCs w:val="24"/>
        </w:rPr>
        <w:t>рH</w:t>
      </w:r>
      <w:proofErr w:type="spellEnd"/>
      <w:r w:rsidRPr="00EB72FD">
        <w:rPr>
          <w:rFonts w:ascii="Times New Roman" w:hAnsi="Times New Roman" w:cs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 Окислительно-восстановительные реакции в природе, производственных процессах и жизнедеятельности организмов. 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Электролиз растворов и расплавов. Применение электролиза в промышленности.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FD" w:rsidRPr="00C26D6A" w:rsidRDefault="00EB72FD" w:rsidP="00C74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6A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химический анализ и синтез как методы научного познания.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в повседневной жизни. Моющие и чистящие средства. Средства борьбы с бытовыми насекомыми: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C26D6A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</w:t>
      </w:r>
    </w:p>
    <w:p w:rsidR="00EB72FD" w:rsidRPr="00EB72FD" w:rsidRDefault="00EB72FD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 w:rsidRPr="00EB72FD">
        <w:rPr>
          <w:rFonts w:ascii="Times New Roman" w:hAnsi="Times New Roman" w:cs="Times New Roman"/>
          <w:sz w:val="24"/>
          <w:szCs w:val="24"/>
        </w:rPr>
        <w:t>нефтепереработке и транспортировке нефтепродуктов. Альтернативные источники энергии.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EB72FD" w:rsidRPr="00EB72FD" w:rsidRDefault="00C26D6A" w:rsidP="00C74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2FD" w:rsidRPr="00EB72FD">
        <w:rPr>
          <w:rFonts w:ascii="Times New Roman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D61C30" w:rsidRDefault="00D61C30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C74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04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804" w:rsidRDefault="00C74804" w:rsidP="00C7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3E" w:rsidRPr="009B6B5A" w:rsidRDefault="0004783E" w:rsidP="00C7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5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</w:t>
      </w:r>
    </w:p>
    <w:p w:rsidR="00D61C30" w:rsidRDefault="0004783E" w:rsidP="009B6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5A">
        <w:rPr>
          <w:rFonts w:ascii="Times New Roman" w:hAnsi="Times New Roman" w:cs="Times New Roman"/>
          <w:b/>
          <w:sz w:val="28"/>
          <w:szCs w:val="28"/>
        </w:rPr>
        <w:t>на освоение каждой темы</w:t>
      </w:r>
      <w:r w:rsidRPr="00047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5A" w:rsidRDefault="009B6B5A" w:rsidP="009B6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2"/>
        <w:gridCol w:w="7426"/>
        <w:gridCol w:w="1373"/>
      </w:tblGrid>
      <w:tr w:rsidR="0004783E" w:rsidTr="004F1928">
        <w:tc>
          <w:tcPr>
            <w:tcW w:w="772" w:type="dxa"/>
          </w:tcPr>
          <w:p w:rsidR="0004783E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26" w:type="dxa"/>
          </w:tcPr>
          <w:p w:rsidR="0004783E" w:rsidRDefault="0004783E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73" w:type="dxa"/>
          </w:tcPr>
          <w:p w:rsidR="0004783E" w:rsidRDefault="0004783E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1928" w:rsidTr="004F1928">
        <w:tc>
          <w:tcPr>
            <w:tcW w:w="772" w:type="dxa"/>
            <w:vMerge w:val="restart"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3E">
              <w:rPr>
                <w:rFonts w:ascii="Times New Roman" w:hAnsi="Times New Roman" w:cs="Times New Roman"/>
                <w:sz w:val="24"/>
                <w:szCs w:val="24"/>
              </w:rPr>
              <w:t>Основы органической химии. Углеводороды.</w:t>
            </w:r>
          </w:p>
        </w:tc>
        <w:tc>
          <w:tcPr>
            <w:tcW w:w="1373" w:type="dxa"/>
          </w:tcPr>
          <w:p w:rsidR="004F1928" w:rsidRDefault="004F1928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1928" w:rsidTr="004F1928">
        <w:tc>
          <w:tcPr>
            <w:tcW w:w="772" w:type="dxa"/>
            <w:vMerge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органические соединения</w:t>
            </w:r>
          </w:p>
        </w:tc>
        <w:tc>
          <w:tcPr>
            <w:tcW w:w="1373" w:type="dxa"/>
          </w:tcPr>
          <w:p w:rsidR="004F1928" w:rsidRDefault="004F1928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1928" w:rsidTr="004F1928">
        <w:tc>
          <w:tcPr>
            <w:tcW w:w="772" w:type="dxa"/>
            <w:vMerge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4F1928" w:rsidRDefault="004F1928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1373" w:type="dxa"/>
          </w:tcPr>
          <w:p w:rsidR="004F1928" w:rsidRDefault="004F1928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629" w:rsidTr="004F1928">
        <w:tc>
          <w:tcPr>
            <w:tcW w:w="772" w:type="dxa"/>
            <w:vMerge w:val="restart"/>
          </w:tcPr>
          <w:p w:rsidR="00FC7629" w:rsidRDefault="00FC7629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6" w:type="dxa"/>
          </w:tcPr>
          <w:p w:rsidR="00FC7629" w:rsidRDefault="00FC7629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B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1373" w:type="dxa"/>
          </w:tcPr>
          <w:p w:rsidR="00FC7629" w:rsidRDefault="00FC7629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629" w:rsidTr="004F1928">
        <w:tc>
          <w:tcPr>
            <w:tcW w:w="772" w:type="dxa"/>
            <w:vMerge/>
          </w:tcPr>
          <w:p w:rsidR="00FC7629" w:rsidRDefault="00FC7629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FC7629" w:rsidRDefault="00FC7629" w:rsidP="006C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373" w:type="dxa"/>
          </w:tcPr>
          <w:p w:rsidR="00FC7629" w:rsidRDefault="00FC7629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629" w:rsidTr="004F1928">
        <w:tc>
          <w:tcPr>
            <w:tcW w:w="772" w:type="dxa"/>
            <w:vMerge/>
          </w:tcPr>
          <w:p w:rsidR="00FC7629" w:rsidRDefault="00FC7629" w:rsidP="0004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FC7629" w:rsidRDefault="00FC7629" w:rsidP="00D1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373" w:type="dxa"/>
          </w:tcPr>
          <w:p w:rsidR="00FC7629" w:rsidRDefault="00FC7629" w:rsidP="0004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4783E" w:rsidRPr="0004783E" w:rsidRDefault="0004783E" w:rsidP="0004783E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4F1928">
      <w:pPr>
        <w:rPr>
          <w:rFonts w:ascii="Times New Roman" w:hAnsi="Times New Roman" w:cs="Times New Roman"/>
          <w:sz w:val="24"/>
          <w:szCs w:val="24"/>
        </w:rPr>
      </w:pPr>
    </w:p>
    <w:p w:rsidR="0004783E" w:rsidRPr="00EB72FD" w:rsidRDefault="0004783E" w:rsidP="0004783E">
      <w:pPr>
        <w:rPr>
          <w:rFonts w:ascii="Times New Roman" w:hAnsi="Times New Roman" w:cs="Times New Roman"/>
          <w:sz w:val="24"/>
          <w:szCs w:val="24"/>
        </w:rPr>
      </w:pPr>
    </w:p>
    <w:p w:rsidR="00EB72FD" w:rsidRDefault="00EB72FD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FC7629" w:rsidRDefault="00FC7629" w:rsidP="00EB72FD">
      <w:pPr>
        <w:rPr>
          <w:rFonts w:ascii="Times New Roman" w:hAnsi="Times New Roman" w:cs="Times New Roman"/>
          <w:sz w:val="24"/>
          <w:szCs w:val="24"/>
        </w:rPr>
      </w:pPr>
    </w:p>
    <w:p w:rsidR="00D61C30" w:rsidRDefault="00D61C30" w:rsidP="00EB72FD">
      <w:pPr>
        <w:rPr>
          <w:rFonts w:ascii="Times New Roman" w:hAnsi="Times New Roman" w:cs="Times New Roman"/>
          <w:sz w:val="24"/>
          <w:szCs w:val="24"/>
        </w:rPr>
      </w:pPr>
    </w:p>
    <w:sectPr w:rsidR="00D61C30" w:rsidSect="00BF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0DF"/>
    <w:rsid w:val="0004783E"/>
    <w:rsid w:val="000546B8"/>
    <w:rsid w:val="00083F64"/>
    <w:rsid w:val="00165D14"/>
    <w:rsid w:val="00173A1B"/>
    <w:rsid w:val="004B2DF4"/>
    <w:rsid w:val="004B30DF"/>
    <w:rsid w:val="004E6300"/>
    <w:rsid w:val="004F1928"/>
    <w:rsid w:val="00552855"/>
    <w:rsid w:val="00590C9B"/>
    <w:rsid w:val="005B69BE"/>
    <w:rsid w:val="00665681"/>
    <w:rsid w:val="009B6B5A"/>
    <w:rsid w:val="00BF4A53"/>
    <w:rsid w:val="00C26D6A"/>
    <w:rsid w:val="00C423D5"/>
    <w:rsid w:val="00C74804"/>
    <w:rsid w:val="00D61C30"/>
    <w:rsid w:val="00D6779E"/>
    <w:rsid w:val="00EB72FD"/>
    <w:rsid w:val="00FC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inform16-PC</cp:lastModifiedBy>
  <cp:revision>18</cp:revision>
  <dcterms:created xsi:type="dcterms:W3CDTF">2020-09-01T16:20:00Z</dcterms:created>
  <dcterms:modified xsi:type="dcterms:W3CDTF">2023-02-08T10:42:00Z</dcterms:modified>
</cp:coreProperties>
</file>